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新农大发〔2018〕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关于发布2019年度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新疆农业大学乡村振兴脱贫攻坚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科技计划项目申报指南的通知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学习贯彻习近平新时代中国特色社会主义思想，全面贯彻党的十九大和十九届二中、三中全会精神，贯彻落实党中央治疆方略，特别是社会稳定和长治久安总目标，贯彻落实自治区“1+3+3+改革开放”工作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,发挥新疆农业大学人才和智力优势，为兴疆固边服务，助力乡村振兴和脱贫攻坚战略，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研究，决定发布2019年度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新疆农业大学乡村振兴脱贫攻坚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科技计划项目申报指南，现将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新疆农业大学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乡村振兴脱贫攻坚科技计划工作领导小组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长：黄建昆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新疆农业大学党委书记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副组长：蒋平安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新疆农业大学校长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谢树青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新疆农业大学党委副书记、副校长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536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木开依·加尔肯别克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新疆农业大学党委副书记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綦群高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新疆农业大学党委常委、副校长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55" w:leftChars="912" w:right="0" w:rightChars="0" w:hanging="640" w:hanging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许新军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新疆农业大学党委常委、组织部部长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55" w:leftChars="912" w:right="0" w:rightChars="0" w:hanging="640" w:hanging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康  华    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新疆农业大学党委常委、宣传部部长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37" w:leftChars="608" w:right="0" w:rightChars="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-20"/>
          <w:w w:val="100"/>
          <w:sz w:val="32"/>
          <w:szCs w:val="32"/>
          <w:lang w:val="en-US" w:eastAsia="zh-CN"/>
        </w:rPr>
        <w:t>新疆农业大学“访惠聚”驻村工作队总领队、托万克拜什艾日克村工作组组长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新疆农业大学财务处处长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40" w:leftChars="0" w:right="0" w:rightChars="0" w:hanging="3840" w:hanging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新疆农业大学科研管理处副处长（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主持科研管理处工作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34" w:leftChars="759" w:right="0" w:rightChars="0" w:hanging="224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艾尔肯·肉孜   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新疆农业大学纪委副书记、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新疆农业大学驻</w:t>
      </w:r>
      <w:r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  <w:t>托万克库木艾日克村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工作组组长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40" w:leftChars="0" w:right="0" w:rightChars="0" w:hanging="3840" w:hanging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  <w:lang w:val="en-US" w:eastAsia="zh-CN"/>
        </w:rPr>
        <w:t>吐尔逊江·斯迪克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新疆农业大学大学学生工作处党总支书记</w:t>
      </w:r>
      <w:r>
        <w:rPr>
          <w:rFonts w:hint="eastAsia" w:ascii="仿宋_GB2312" w:hAnsi="仿宋_GB2312" w:eastAsia="仿宋_GB2312" w:cs="仿宋_GB2312"/>
          <w:spacing w:val="-20"/>
          <w:w w:val="88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w w:val="88"/>
          <w:sz w:val="32"/>
          <w:szCs w:val="32"/>
          <w:lang w:val="en-US" w:eastAsia="zh-CN"/>
        </w:rPr>
        <w:t xml:space="preserve">新疆农业大学驻索克满村工作组组长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28" w:leftChars="760" w:right="0" w:rightChars="0" w:hanging="2232" w:hangingChars="900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  <w:lang w:val="en-US" w:eastAsia="zh-CN"/>
        </w:rPr>
        <w:t>艾斯卡尔·买买提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新疆农业大学中国语言学院党委书记、</w:t>
      </w:r>
      <w:r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  <w:t>新疆农业大学驻依提帕克村工作组组长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34" w:leftChars="759" w:right="0" w:rightChars="0" w:hanging="2240" w:hanging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巴特尔·巴克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新疆农业大学草业与环境科学学院党委书记、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新疆农业大学驻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库木奥依拉村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工作组组长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36" w:leftChars="760" w:right="0" w:rightChars="0" w:hanging="2240" w:hangingChars="800"/>
        <w:textAlignment w:val="auto"/>
        <w:outlineLvl w:val="9"/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赛福丁·阿不拉  新疆农业大学继续教育学院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党委书记、</w:t>
      </w:r>
      <w:r>
        <w:rPr>
          <w:rFonts w:hint="eastAsia" w:ascii="仿宋_GB2312" w:hAnsi="仿宋_GB2312" w:eastAsia="仿宋_GB2312" w:cs="仿宋_GB2312"/>
          <w:spacing w:val="-20"/>
          <w:w w:val="98"/>
          <w:sz w:val="32"/>
          <w:szCs w:val="32"/>
          <w:lang w:val="en-US" w:eastAsia="zh-CN"/>
        </w:rPr>
        <w:t>新疆农业大学驻代热亚博依村工作组组长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领导小组下设办公室，办公室设在科研管理处，办公室主任：颜安。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现代农业科技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示范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设施农业智能物联网技术应用示范（拟支持10万元）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2.设施蔬菜标准化栽培技术集成示范（拟支持20万元）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3.南疆特色中草药种植与开发技术集成示范（拟支持20万元）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4.小麦绿色高质栽培技术集成示范（拟支持10万元）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5.棉花高质高效栽培技术集成示范（拟支持10万元）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6.饲草选育与加工技术集成示范（拟支持10万元）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7.农民专业合作社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规范化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试点建设示范（拟支持10万元）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（二）科技推广与服务类项目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牛羊健康养殖技术推广服务（拟支持10万元）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2.于田县麻鸭养殖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技术推广服务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3.核桃提质增效技术推广服务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4.红枣提质增效技术推广服务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（拟支持10万元）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（三）政策调研咨询类项目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乡村休闲旅游开发调研与规划（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2.新时代南疆新型农业经营主体培育研究（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3.新时代加强南疆基层党组织建设的思路与举措研究（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4.南疆基层农牧民生产生活困难及诉求调查分析（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项目申报人须严格按照项目指南的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内容和相关要求，进行项目申报。若不在申报指南支持范围内、不符合项目申报要求的，不予受理。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2.所申报的现代农业技术示范类项目要建立一定规模的示范点，彰显农大特色；</w:t>
      </w:r>
      <w:r>
        <w:rPr>
          <w:rFonts w:hint="eastAsia" w:ascii="仿宋_GB2312" w:hAnsi="宋体" w:eastAsia="仿宋_GB2312" w:cs="宋体"/>
          <w:color w:val="auto"/>
          <w:w w:val="98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w w:val="98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宋体" w:eastAsia="仿宋_GB2312" w:cs="宋体"/>
          <w:color w:val="auto"/>
          <w:w w:val="98"/>
          <w:kern w:val="0"/>
          <w:sz w:val="32"/>
          <w:szCs w:val="32"/>
          <w:lang w:val="en-US" w:eastAsia="zh-CN"/>
        </w:rPr>
        <w:t>与服务类项目要完成6个“访惠聚”驻村点的技术指导和培训，突出农大优势；政策调研咨询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项目要提出创新性、针对性和可操作性的对策与措施，贡献农大智慧。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设施蔬菜标准化栽培技术集成示范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南疆特色中草药种植与开发技术集成示范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“农民专业合作社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规范化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试点建设示范”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项目须在阿瓦提县、于田县分别建立示范点；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新时代加强南疆基层党组织建设的思路与举措研究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南疆基层农牧民生产生活困难及诉求调查分析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”项目调研须覆盖学校驻阿瓦提县“访惠聚”活动所在村和于田县扶贫专干所在村。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（1）各学院（研究所）；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（2）“访惠聚”工作队；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各推荐单位应结合本单位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学科方向、科研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认真遴选推荐，做好项目的组织申报工作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对申报书内容严把政治关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.申报项目受理后，原则上不能更改申报单位和负责人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项目负责人必须要有足够的精力投入项目实施，每个项目负责人只能申报1项。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6.项目负责人要如实填写项目申报书，并根据工作实际需要，按照有关科技专项经费管理办法填报申请的资助金额。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项目实施期限为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年，开始日期从201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年1月1日起，截至日期至20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年12月31日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验收时间为2019年11月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8.项目实施地点：新疆农业大学驻阿克苏地区阿瓦提县“访惠聚”工作队所在村，和田地区于田县扶贫专干所在村。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申报书（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A4幅面，双面打印，一式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各推荐单位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政治审核及形式审查通过后，统一报送至科研管理处杨再磊处（行政楼4F-011办公室），电子版发送至邮箱：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kyc3890@126.com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2.申报书受理时间截至2018年12月12日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3.联系人：科研管理处，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杨再磊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15099170916；阿瓦提县，谢军 13609938167；于田县，李晨 15999109669。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w w:val="88"/>
          <w:sz w:val="32"/>
          <w:szCs w:val="32"/>
          <w:lang w:val="en-US" w:eastAsia="zh-CN"/>
        </w:rPr>
        <w:t>1.新疆农业大学乡村振兴脱贫攻坚科技计划管理办法（试行）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2.新疆农业大学乡村振兴脱贫攻坚科技计划项目申报书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right="0" w:rightChars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3.新疆农业大学乡村振兴脱贫攻坚科技计划项目合同书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2018年12月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新疆农业大学乡村振兴脱贫攻坚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计划管理办法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第一章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学习贯彻习近平新时代中国特色社会主义思想，全面贯彻党的十九大和十九届二中、三中全会精神，贯彻落实党中央治疆方略，特别是社会稳定和长治久安总目标，贯彻落实自治区“1+3+3+改革开放”工作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,切实将自治区乡村振兴规划及脱贫攻坚工作要求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发挥新疆农业大学人才和智力优势，为兴疆固边服务，助力乡村振兴和脱贫攻坚，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国家、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自治区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及我校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有关政策及规定，制定本办法。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72" w:firstLineChars="147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乡村振兴脱贫攻坚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计划主要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用于支持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南疆地区乡村振兴和脱贫攻坚，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推广先进适用、高产优质、安全环保的农业技术，增强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我校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农业科技服务能力，加快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现有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农业科技成果转化，促进农业提质增效和农民增收，发挥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我校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及人才在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乡村振兴和脱贫攻坚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支撑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9" w:firstLineChars="750"/>
        <w:textAlignment w:val="auto"/>
        <w:outlineLvl w:val="9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9" w:firstLineChars="750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第二章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支持对象和范围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乡村振兴脱贫攻坚科技计划面向全校在职教师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，服务区域主要为南疆四地州贫困地区，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重点聚焦乡村振兴和南疆深度贫困村脱贫攻坚。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70" w:firstLineChars="147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Times New Roman" w:eastAsia="仿宋_GB2312"/>
          <w:color w:val="auto"/>
          <w:sz w:val="32"/>
          <w:szCs w:val="32"/>
        </w:rPr>
        <w:t> 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校属各单位申请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（一）有较强的组织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管理水平和开展农业科技推广与服务的实践经历。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（二）要有明确的具备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农业科技推广与服务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的成套技术，与自治区乡村振兴战略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脱贫攻坚总体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紧密结合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（三）对带动农业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供给侧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结构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性改革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、推动农村产业融合发展、促进农业提质增效和农民增收的主动性较强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Times New Roman" w:eastAsia="仿宋_GB2312"/>
          <w:color w:val="auto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乡村振兴脱贫攻坚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支持农业新技术、新品种、新模式，农业高产创建集成技术，节本增效农业技术，资源节约集约利用、农业环境保护和生态有机农业技术，农业机械化、信息化新技术，农产品产地初加工技术等的引进、示范、推广；农业实用科技知识进村入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国家和自治区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乡村振兴战略规划(2018-2022年)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》及《新疆维吾尔自治区“十三五”脱贫攻坚规划》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政策确定的其他相关农业科技推广和服务。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计划支持项目分为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类：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现代农业技术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示范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与服务类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及政策调研咨询类项目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。申报和验收按照相应的具体要求和参照指南执行。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资金不支持农业技术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未成熟配套、不具备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示范及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推广条件的项目，不支持有知识产权纠纷的项目，不支持低水平重复建设项目。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第三章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申报和审定程序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科研管理处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每年年底制定印发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次年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乡村振兴脱贫攻坚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项目申报通知和指南，明确项目申报的重点领域、支持的重点技术及组织申报程序，并提出相应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要求。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项目申报要按照当年项目申报通知要求和申报指南进行，并按照申报程序报送“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乡村振兴脱贫攻坚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申报书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”。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校属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对本单位组织申报项目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的内容进行政治审核，对项目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的公平性、合规性、真实性负责。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科研管理处负责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对上报的项目进行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汇总和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初选，组织专家评审并按照一定比例筛选，确定年度拟上项目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并报“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疆农业大学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乡村振兴脱贫攻坚科技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计划领导小组”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审议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批准后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由各申报单位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组织实施。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本计划项目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实施周期为一年。对项目实施绩效突出、管理规范、审计和项目验收合格后又符合新年度申报条件的，经申报审定后，在第二年可连续立项支持，但要从严控制延续项目个数。项目一般最多延续一年。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校属各单位下一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项目个数、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科技计划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资金规模安排与上年度项目实施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效益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、规范化管理和检查验收等情况直接挂钩。凡项目管理不力、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项目实施效益不明显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、未按时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项目验收的，相应调减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或取消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第二年项目个数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9" w:firstLineChars="750"/>
        <w:textAlignment w:val="auto"/>
        <w:outlineLvl w:val="9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9" w:firstLineChars="750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第四章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项目组织实施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计划项目立项后，承担单位要依据项目申请书明确的内容，科学制定项目实施方案，并签订项目合同书，经“新疆农业大学乡村振兴脱贫攻坚科技计划领导小组”批准后实施。项目合同书的主要内容：实施地点和范围、目标任务和考核内容、技术示范推广措施、进度安排、资金使用方向等。项目申请书和合同书是项目实施、督促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查、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效益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评价、财务审计和验收等的主要依据。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各单位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要加强对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本单位承担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项目的日常工作检查指导，督促项目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按照项目申请书和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合同书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认真组织实施，强化目标考核和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效益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评价，督促资金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按计划落实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项目承担单位不得擅自更改项目实施内容，因特殊原因要求更改的，要向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新疆农业大学乡村振兴脱贫攻坚科技计划领导小组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提出项目更改申请报告，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8" w:firstLineChars="600"/>
        <w:textAlignment w:val="auto"/>
        <w:outlineLvl w:val="9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8" w:firstLineChars="600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第五章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经费及项目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管理和监督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计划项目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立项后，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10-15工作日内拨付经费，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经费为一次性全额拨款，各项研究经费支出须严格按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合同书预算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执行。经费使用与管理按《新疆农业大学科研经费管理办法》执行。经审核如发现违反财务使用规定，将视情节轻重，采取中止报销、冻结经费等措施。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科研管理处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根据项目实施进展情况，组织人员对项目资金使用情况和项目进展情况进行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定期不定期检查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验收后的结余资金将全部收回转入学校科研发展基金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</w:rPr>
        <w:t>第十</w:t>
      </w: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负责人因辞职或调离科研岗位而无法继续进行研究工作时，学校将中止该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的实施并收回其剩余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转入学校科研发展基金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kern w:val="0"/>
          <w:sz w:val="32"/>
          <w:szCs w:val="32"/>
          <w:lang w:eastAsia="zh-CN"/>
        </w:rPr>
        <w:t>第十八条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科技计划获批后，即纳入学校科研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管理范畴，以厅局级项目计入年底科研工作量考核。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eastAsia="zh-CN"/>
        </w:rPr>
        <w:t>第六章</w:t>
      </w: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  <w:lang w:eastAsia="zh-CN"/>
        </w:rPr>
        <w:t>项目验收管理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完成后，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各项目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要形成工作总结和资金使用情况报告，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于每年11月10日前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科研管理处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提出项目验收申请。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科研管理处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按照规定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项目类别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程序组织验收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验收结果报“新疆农业大学乡村振兴脱贫攻坚科技计划领导小组”审批结项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color w:val="auto"/>
          <w:kern w:val="0"/>
          <w:szCs w:val="21"/>
        </w:rPr>
        <w:t xml:space="preserve">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科技计划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原则上不予延期。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承担单位应督促项目负责人于项目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验收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后1个月内，向科研管理处提交工作总结和资金使用情况报告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13" w:firstLineChars="1000"/>
        <w:textAlignment w:val="auto"/>
        <w:outlineLvl w:val="9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13" w:firstLineChars="1000"/>
        <w:textAlignment w:val="auto"/>
        <w:outlineLvl w:val="9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章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第二十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条</w:t>
      </w:r>
      <w:r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本办法自发布之日起执行。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第二十二条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本办法由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科研管理处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eastAsia="黑体"/>
          <w:spacing w:val="-6"/>
          <w:sz w:val="48"/>
          <w:szCs w:val="4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新疆农业大学乡村振兴脱贫攻坚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科技计划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楷体_GB2312"/>
          <w:b/>
          <w:bCs/>
          <w:sz w:val="72"/>
          <w:szCs w:val="72"/>
        </w:rPr>
      </w:pPr>
      <w:r>
        <w:rPr>
          <w:rFonts w:hint="eastAsia" w:eastAsia="楷体_GB2312"/>
          <w:b/>
          <w:bCs/>
          <w:sz w:val="72"/>
          <w:szCs w:val="72"/>
        </w:rPr>
        <w:t>申</w:t>
      </w:r>
      <w:r>
        <w:rPr>
          <w:rFonts w:eastAsia="楷体_GB2312"/>
          <w:b/>
          <w:bCs/>
          <w:sz w:val="72"/>
          <w:szCs w:val="72"/>
        </w:rPr>
        <w:t xml:space="preserve">  </w:t>
      </w:r>
      <w:r>
        <w:rPr>
          <w:rFonts w:hint="eastAsia" w:eastAsia="楷体_GB2312"/>
          <w:b/>
          <w:bCs/>
          <w:sz w:val="72"/>
          <w:szCs w:val="72"/>
          <w:lang w:eastAsia="zh-CN"/>
        </w:rPr>
        <w:t>报</w:t>
      </w:r>
      <w:r>
        <w:rPr>
          <w:rFonts w:eastAsia="楷体_GB2312"/>
          <w:b/>
          <w:bCs/>
          <w:sz w:val="72"/>
          <w:szCs w:val="72"/>
        </w:rPr>
        <w:t xml:space="preserve">  </w:t>
      </w:r>
      <w:r>
        <w:rPr>
          <w:rFonts w:hint="eastAsia" w:eastAsia="楷体_GB2312"/>
          <w:b/>
          <w:bCs/>
          <w:sz w:val="72"/>
          <w:szCs w:val="72"/>
        </w:rPr>
        <w:t>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2368" w:firstLineChars="84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368" w:firstLineChars="84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项目申报时间：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宋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新疆农业大学</w:t>
      </w:r>
      <w:r>
        <w:rPr>
          <w:rFonts w:hint="eastAsia" w:ascii="楷体" w:hAnsi="楷体" w:eastAsia="楷体" w:cs="楷体"/>
          <w:sz w:val="36"/>
          <w:szCs w:val="36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1、申请书由项目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单位填写,一式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按照规定程序申报。项目申请批准立项后，一份留存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新疆农业大学科研管理处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，一份留存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新疆农业大学财务处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，一份留存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2、必须按本申请书要求逐条认真填写，内容要真实、准确，字迹要工整、清晰，表达要简明、严谨。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3、计量单位一律用1984年国务院公布的中华人民共和国法定计量单位。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</w:t>
      </w:r>
    </w:p>
    <w:tbl>
      <w:tblPr>
        <w:tblStyle w:val="11"/>
        <w:tblW w:w="90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293"/>
        <w:gridCol w:w="1507"/>
        <w:gridCol w:w="28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5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项目类别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65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1.示范类、2.推广服务类、3.调研咨询类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当年总投资（万元）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申请补助资金（万元）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自筹资金（万元）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项目实施地点：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2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申请单位负责人</w:t>
            </w:r>
          </w:p>
        </w:tc>
        <w:tc>
          <w:tcPr>
            <w:tcW w:w="62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62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62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单位联系电话</w:t>
            </w:r>
          </w:p>
        </w:tc>
        <w:tc>
          <w:tcPr>
            <w:tcW w:w="62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项目概述（项目主要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目标任务、主要技术支撑及产生的效益情况等）（300字以内）：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0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项目主要考核指标（100字以内）：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b w:val="0"/>
          <w:bCs w:val="0"/>
          <w:sz w:val="32"/>
          <w:szCs w:val="32"/>
        </w:rPr>
      </w:pPr>
    </w:p>
    <w:p>
      <w:pPr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二、项目建设的可行性</w:t>
      </w:r>
    </w:p>
    <w:tbl>
      <w:tblPr>
        <w:tblStyle w:val="11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9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支撑项目的技术简述（包括主要技术，已经示范推广的效果，如有相应成果转化签定证书或应用证明请复印附后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，咨询调研类项目提供近几年内编制过的规划情况，采纳情况，如有相应成果请复印附后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）（300字以内）：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9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项目实施地基本条件简述（包括资源、经济社会和基础设施条件）（200字以内）：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9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项目预期经济、社会、生态效益简述（150字以内）：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b w:val="0"/>
          <w:bCs w:val="0"/>
          <w:sz w:val="32"/>
          <w:szCs w:val="32"/>
        </w:rPr>
      </w:pPr>
    </w:p>
    <w:p>
      <w:pPr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三、项目建设内容</w:t>
      </w:r>
    </w:p>
    <w:tbl>
      <w:tblPr>
        <w:tblStyle w:val="11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atLeast"/>
        </w:trPr>
        <w:tc>
          <w:tcPr>
            <w:tcW w:w="9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项目实施范围、期限、主要实施内容和技术方案、组织保障措施（400字以内）：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项目申请资金拟支出范围（支出内容主要是：材料费、仪器设备费、劳务和咨询费、差旅费、资料信息费、会议费、培训费等）：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b w:val="0"/>
          <w:bCs w:val="0"/>
          <w:sz w:val="32"/>
          <w:szCs w:val="32"/>
        </w:rPr>
      </w:pPr>
    </w:p>
    <w:p>
      <w:pPr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四、审定和责任承诺</w:t>
      </w:r>
    </w:p>
    <w:tbl>
      <w:tblPr>
        <w:tblStyle w:val="11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组织申报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7" w:hRule="atLeast"/>
        </w:trPr>
        <w:tc>
          <w:tcPr>
            <w:tcW w:w="9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新疆农业大学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乡村振兴脱贫攻坚科技计划领导小组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审定意见：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新疆农业大学代章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5" w:hRule="atLeast"/>
        </w:trPr>
        <w:tc>
          <w:tcPr>
            <w:tcW w:w="9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责任承诺：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本人作为项目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的负责人，承诺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对申请书内容严把政治关，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严格按照《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新疆农业大学乡村振脱贫攻坚专项计划管理办法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》加强项目规范化管理，积极推动项目实施，强化项目督查和绩效评价，按期完成各项任务，确保达到立项预期目的。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本人作为项目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申请书内容不存在任何政治问题，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一定严格依照项目申请书，科学制定项目实施方案，落实各项措施，接受项目监管，确保按期完成任务，并按规定程序及时总结和申请验收。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新疆农业大学乡村振兴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脱贫攻坚科技计划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项 目 合 同 书</w:t>
      </w:r>
    </w:p>
    <w:p>
      <w:pPr>
        <w:pStyle w:val="2"/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项目委托单位（甲方）：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项目承担单位（乙方）：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 管 部 门（丙方）：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项目负责人：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起 止 年 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jc w:val="center"/>
        <w:rPr>
          <w:rFonts w:hint="eastAsia" w:hAnsi="宋体"/>
          <w:sz w:val="32"/>
          <w:szCs w:val="32"/>
        </w:rPr>
      </w:pPr>
    </w:p>
    <w:p>
      <w:pPr>
        <w:pStyle w:val="2"/>
        <w:jc w:val="center"/>
        <w:rPr>
          <w:rFonts w:hint="eastAsia" w:hAnsi="宋体"/>
          <w:sz w:val="32"/>
          <w:szCs w:val="32"/>
        </w:rPr>
      </w:pPr>
    </w:p>
    <w:p>
      <w:pPr>
        <w:pStyle w:val="2"/>
        <w:jc w:val="both"/>
        <w:rPr>
          <w:rFonts w:hint="eastAsia" w:hAnsi="宋体"/>
          <w:sz w:val="32"/>
          <w:szCs w:val="32"/>
        </w:rPr>
      </w:pPr>
    </w:p>
    <w:p>
      <w:pPr>
        <w:pStyle w:val="2"/>
        <w:jc w:val="both"/>
        <w:rPr>
          <w:rFonts w:hint="eastAsia" w:ascii="楷体" w:hAnsi="楷体" w:eastAsia="楷体" w:cs="楷体"/>
          <w:sz w:val="40"/>
          <w:szCs w:val="40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新疆农业大学制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b w:val="0"/>
          <w:bCs/>
          <w:sz w:val="32"/>
          <w:szCs w:val="32"/>
        </w:rPr>
        <w:t>一、项目内容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（项目实施的主要内容）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二、项目实施的</w:t>
      </w:r>
      <w:r>
        <w:rPr>
          <w:rFonts w:hint="eastAsia" w:ascii="黑体" w:eastAsia="黑体"/>
          <w:b w:val="0"/>
          <w:bCs/>
          <w:sz w:val="32"/>
          <w:szCs w:val="32"/>
        </w:rPr>
        <w:t>技术路线和方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法（技术路线、研究方法）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仿宋_GB2312" w:eastAsia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/>
          <w:b w:val="0"/>
          <w:bCs/>
          <w:sz w:val="32"/>
          <w:szCs w:val="32"/>
        </w:rPr>
        <w:t>项目年度计划和年度目标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四、项目承担单位人员分工与责任</w:t>
      </w:r>
    </w:p>
    <w:tbl>
      <w:tblPr>
        <w:tblStyle w:val="11"/>
        <w:tblpPr w:leftFromText="180" w:rightFromText="180" w:vertAnchor="text" w:horzAnchor="page" w:tblpX="1378" w:tblpY="399"/>
        <w:tblOverlap w:val="never"/>
        <w:tblW w:w="138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283"/>
        <w:gridCol w:w="858"/>
        <w:gridCol w:w="1428"/>
        <w:gridCol w:w="1139"/>
        <w:gridCol w:w="1283"/>
        <w:gridCol w:w="3863"/>
        <w:gridCol w:w="3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1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12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386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项目中的分工</w:t>
            </w:r>
          </w:p>
        </w:tc>
        <w:tc>
          <w:tcPr>
            <w:tcW w:w="312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right="-55" w:rightChars="-26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181" w:leftChars="-86" w:right="-111" w:rightChars="-53" w:firstLine="105" w:firstLineChars="50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right="-61" w:rightChars="-29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191" w:leftChars="-114" w:right="-97" w:rightChars="-46" w:hanging="48" w:hangingChars="23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right="-55" w:rightChars="-26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right="-143" w:rightChars="-68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right="-55" w:rightChars="-26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right="-55" w:rightChars="-26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ind w:left="-34" w:leftChars="-66" w:right="-97" w:rightChars="-46" w:hanging="105" w:hangingChars="50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31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Courier New"/>
                <w:position w:val="6"/>
                <w:szCs w:val="21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eastAsia="黑体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jc w:val="left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五、项目考核指标和成果提供形式</w:t>
      </w:r>
    </w:p>
    <w:p>
      <w:pPr>
        <w:widowControl/>
        <w:autoSpaceDE w:val="0"/>
        <w:autoSpaceDN w:val="0"/>
        <w:spacing w:line="360" w:lineRule="auto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b/>
          <w:bCs/>
          <w:sz w:val="32"/>
          <w:szCs w:val="32"/>
        </w:rPr>
        <w:t>六、</w:t>
      </w:r>
      <w:r>
        <w:rPr>
          <w:rFonts w:eastAsia="黑体"/>
          <w:b/>
          <w:bCs/>
          <w:sz w:val="32"/>
          <w:szCs w:val="32"/>
        </w:rPr>
        <w:t>项目经费预算表</w:t>
      </w:r>
    </w:p>
    <w:tbl>
      <w:tblPr>
        <w:tblStyle w:val="11"/>
        <w:tblpPr w:leftFromText="180" w:rightFromText="180" w:vertAnchor="text" w:horzAnchor="page" w:tblpX="1567" w:tblpY="61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62"/>
        <w:gridCol w:w="864"/>
        <w:gridCol w:w="1435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项  目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金 额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其  中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（计算依据）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ourier New"/>
                <w:b/>
                <w:position w:val="6"/>
                <w:szCs w:val="21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ourier New"/>
                <w:b/>
                <w:position w:val="6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Courier New"/>
                <w:b/>
                <w:position w:val="6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highlight w:val="none"/>
                <w:lang w:eastAsia="zh-CN"/>
              </w:rPr>
              <w:t>学校拨付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highlight w:val="none"/>
                <w:lang w:eastAsia="zh-CN"/>
              </w:rPr>
              <w:t>资</w:t>
            </w: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  <w:highlight w:val="none"/>
              </w:rPr>
              <w:t>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6"/>
                <w:sz w:val="28"/>
                <w:szCs w:val="28"/>
              </w:rPr>
              <w:t>自筹（配套）资金</w:t>
            </w:r>
          </w:p>
        </w:tc>
        <w:tc>
          <w:tcPr>
            <w:tcW w:w="2835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材料费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检测费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Cs w:val="2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仪器设备费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劳务费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差旅费</w:t>
            </w: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资料费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会议费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培训费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委托业务费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其它费用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Courier New"/>
                <w:position w:val="6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Courier New"/>
                <w:w w:val="100"/>
                <w:position w:val="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position w:val="6"/>
                <w:sz w:val="28"/>
                <w:szCs w:val="28"/>
              </w:rPr>
              <w:t>合计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单位：万元（保留两位小数）</w:t>
      </w:r>
    </w:p>
    <w:p>
      <w:pPr>
        <w:jc w:val="both"/>
        <w:rPr>
          <w:rFonts w:hint="eastAsia" w:ascii="黑体" w:eastAsia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七、申报单位政治审查</w:t>
      </w: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165735</wp:posOffset>
                </wp:positionV>
                <wp:extent cx="6339840" cy="6941820"/>
                <wp:effectExtent l="5080" t="4445" r="1778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694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项目负责人所在单位政治审查意见：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单位负责人签字：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（申报单位党委公章）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年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13.05pt;height:546.6pt;width:499.2pt;z-index:251658240;mso-width-relative:page;mso-height-relative:page;" fillcolor="#FFFFFF" filled="t" stroked="t" coordsize="21600,21600" o:gfxdata="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MY6qTaAAAACwEAAA8AAAAAAAAAAQAgAAAAIgAAAGRycy9kb3ducmV2LnhtbFBL&#10;AQIUABQAAAAIAIdO4kC0/Z8J9AEAAOk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项目负责人所在单位政治审查意见：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              单位负责人签字：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（申报单位党委公章）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              年  月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、合同书签约各方意见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新疆农业大学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负责人（签章）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公    章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乙方：（项目承担单位）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负责人（签章）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    章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丙方：（主管部门）新疆农业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32"/>
          <w:szCs w:val="32"/>
        </w:rPr>
        <w:t>科研管理处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负责人（签章）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    章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bottom w:val="none" w:color="auto" w:sz="0" w:space="0"/>
        </w:pBd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spacing w:line="360" w:lineRule="auto"/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新疆农业大学校长办公室                  2018年12月6日印发</w:t>
      </w: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6933"/>
    <w:multiLevelType w:val="singleLevel"/>
    <w:tmpl w:val="5C07693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08F27C"/>
    <w:multiLevelType w:val="singleLevel"/>
    <w:tmpl w:val="5C08F2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55D1"/>
    <w:rsid w:val="071C6AC5"/>
    <w:rsid w:val="0794634D"/>
    <w:rsid w:val="0B2B3ADD"/>
    <w:rsid w:val="0D396685"/>
    <w:rsid w:val="0D8F02FA"/>
    <w:rsid w:val="11BF79A0"/>
    <w:rsid w:val="12303D0F"/>
    <w:rsid w:val="1277683E"/>
    <w:rsid w:val="167D5B27"/>
    <w:rsid w:val="17D90168"/>
    <w:rsid w:val="19E20EFF"/>
    <w:rsid w:val="1A3710CC"/>
    <w:rsid w:val="1A5D6075"/>
    <w:rsid w:val="1E04331D"/>
    <w:rsid w:val="1EFD2BC4"/>
    <w:rsid w:val="206255D1"/>
    <w:rsid w:val="219F0553"/>
    <w:rsid w:val="21F4796C"/>
    <w:rsid w:val="268413FF"/>
    <w:rsid w:val="29DA4860"/>
    <w:rsid w:val="29F7773C"/>
    <w:rsid w:val="2B2417FF"/>
    <w:rsid w:val="2C1777F1"/>
    <w:rsid w:val="2CC87211"/>
    <w:rsid w:val="32B3303A"/>
    <w:rsid w:val="35C37149"/>
    <w:rsid w:val="3EFD0AD0"/>
    <w:rsid w:val="429959AA"/>
    <w:rsid w:val="43731811"/>
    <w:rsid w:val="44587B94"/>
    <w:rsid w:val="45AE5C01"/>
    <w:rsid w:val="492A03B2"/>
    <w:rsid w:val="4D423321"/>
    <w:rsid w:val="4DC07BE2"/>
    <w:rsid w:val="4E9A2EBE"/>
    <w:rsid w:val="4F064E39"/>
    <w:rsid w:val="50336AFC"/>
    <w:rsid w:val="52710FCB"/>
    <w:rsid w:val="53392C18"/>
    <w:rsid w:val="55153D0E"/>
    <w:rsid w:val="55E95066"/>
    <w:rsid w:val="56035B3C"/>
    <w:rsid w:val="57456410"/>
    <w:rsid w:val="59AE7925"/>
    <w:rsid w:val="5B8354EE"/>
    <w:rsid w:val="5C846555"/>
    <w:rsid w:val="645469BE"/>
    <w:rsid w:val="657039D1"/>
    <w:rsid w:val="68D91D96"/>
    <w:rsid w:val="6C7E1693"/>
    <w:rsid w:val="6CDF714E"/>
    <w:rsid w:val="72532976"/>
    <w:rsid w:val="72B6217A"/>
    <w:rsid w:val="73457261"/>
    <w:rsid w:val="744C55B4"/>
    <w:rsid w:val="74592AE5"/>
    <w:rsid w:val="74BF7E0E"/>
    <w:rsid w:val="764B094B"/>
    <w:rsid w:val="77E90EBA"/>
    <w:rsid w:val="795658FC"/>
    <w:rsid w:val="7B364281"/>
    <w:rsid w:val="7E1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m072"/>
    <w:basedOn w:val="7"/>
    <w:qFormat/>
    <w:uiPriority w:val="0"/>
  </w:style>
  <w:style w:type="character" w:customStyle="1" w:styleId="13">
    <w:name w:val="m06"/>
    <w:basedOn w:val="7"/>
    <w:qFormat/>
    <w:uiPriority w:val="0"/>
  </w:style>
  <w:style w:type="character" w:customStyle="1" w:styleId="14">
    <w:name w:val="more"/>
    <w:basedOn w:val="7"/>
    <w:qFormat/>
    <w:uiPriority w:val="0"/>
    <w:rPr>
      <w:color w:val="B5B5B5"/>
      <w:sz w:val="18"/>
      <w:szCs w:val="18"/>
    </w:rPr>
  </w:style>
  <w:style w:type="character" w:customStyle="1" w:styleId="15">
    <w:name w:val="more1"/>
    <w:basedOn w:val="7"/>
    <w:qFormat/>
    <w:uiPriority w:val="0"/>
    <w:rPr>
      <w:color w:val="B20000"/>
    </w:rPr>
  </w:style>
  <w:style w:type="character" w:customStyle="1" w:styleId="16">
    <w:name w:val="more2"/>
    <w:basedOn w:val="7"/>
    <w:qFormat/>
    <w:uiPriority w:val="0"/>
    <w:rPr>
      <w:color w:val="B5B5B5"/>
      <w:sz w:val="18"/>
      <w:szCs w:val="18"/>
    </w:rPr>
  </w:style>
  <w:style w:type="character" w:customStyle="1" w:styleId="17">
    <w:name w:val="m012"/>
    <w:basedOn w:val="7"/>
    <w:qFormat/>
    <w:uiPriority w:val="0"/>
  </w:style>
  <w:style w:type="character" w:customStyle="1" w:styleId="18">
    <w:name w:val="left"/>
    <w:basedOn w:val="7"/>
    <w:qFormat/>
    <w:uiPriority w:val="0"/>
    <w:rPr>
      <w:rFonts w:ascii="微软雅黑" w:hAnsi="微软雅黑" w:eastAsia="微软雅黑" w:cs="微软雅黑"/>
    </w:rPr>
  </w:style>
  <w:style w:type="character" w:customStyle="1" w:styleId="19">
    <w:name w:val="left1"/>
    <w:basedOn w:val="7"/>
    <w:qFormat/>
    <w:uiPriority w:val="0"/>
    <w:rPr>
      <w:rFonts w:hint="eastAsia" w:ascii="微软雅黑" w:hAnsi="微软雅黑" w:eastAsia="微软雅黑" w:cs="微软雅黑"/>
    </w:rPr>
  </w:style>
  <w:style w:type="character" w:customStyle="1" w:styleId="20">
    <w:name w:val="name"/>
    <w:basedOn w:val="7"/>
    <w:qFormat/>
    <w:uiPriority w:val="0"/>
    <w:rPr>
      <w:color w:val="6A6A6A"/>
    </w:rPr>
  </w:style>
  <w:style w:type="character" w:customStyle="1" w:styleId="21">
    <w:name w:val="m022"/>
    <w:basedOn w:val="7"/>
    <w:qFormat/>
    <w:uiPriority w:val="0"/>
  </w:style>
  <w:style w:type="character" w:customStyle="1" w:styleId="22">
    <w:name w:val="m042"/>
    <w:basedOn w:val="7"/>
    <w:qFormat/>
    <w:uiPriority w:val="0"/>
  </w:style>
  <w:style w:type="character" w:customStyle="1" w:styleId="23">
    <w:name w:val="m032"/>
    <w:basedOn w:val="7"/>
    <w:qFormat/>
    <w:uiPriority w:val="0"/>
  </w:style>
  <w:style w:type="character" w:customStyle="1" w:styleId="24">
    <w:name w:val="m052"/>
    <w:basedOn w:val="7"/>
    <w:qFormat/>
    <w:uiPriority w:val="0"/>
  </w:style>
  <w:style w:type="character" w:customStyle="1" w:styleId="25">
    <w:name w:val="m08"/>
    <w:basedOn w:val="7"/>
    <w:qFormat/>
    <w:uiPriority w:val="0"/>
  </w:style>
  <w:style w:type="character" w:customStyle="1" w:styleId="26">
    <w:name w:val="bg01"/>
    <w:basedOn w:val="7"/>
    <w:qFormat/>
    <w:uiPriority w:val="0"/>
    <w:rPr>
      <w:sz w:val="0"/>
      <w:szCs w:val="0"/>
    </w:rPr>
  </w:style>
  <w:style w:type="character" w:customStyle="1" w:styleId="27">
    <w:name w:val="bg011"/>
    <w:basedOn w:val="7"/>
    <w:qFormat/>
    <w:uiPriority w:val="0"/>
  </w:style>
  <w:style w:type="character" w:customStyle="1" w:styleId="28">
    <w:name w:val="tabg"/>
    <w:basedOn w:val="7"/>
    <w:qFormat/>
    <w:uiPriority w:val="0"/>
  </w:style>
  <w:style w:type="character" w:customStyle="1" w:styleId="29">
    <w:name w:val="tabg1"/>
    <w:basedOn w:val="7"/>
    <w:qFormat/>
    <w:uiPriority w:val="0"/>
  </w:style>
  <w:style w:type="character" w:customStyle="1" w:styleId="30">
    <w:name w:val="bg02"/>
    <w:basedOn w:val="7"/>
    <w:qFormat/>
    <w:uiPriority w:val="0"/>
    <w:rPr>
      <w:sz w:val="0"/>
      <w:szCs w:val="0"/>
    </w:rPr>
  </w:style>
  <w:style w:type="character" w:customStyle="1" w:styleId="31">
    <w:name w:val="bg021"/>
    <w:basedOn w:val="7"/>
    <w:qFormat/>
    <w:uiPriority w:val="0"/>
  </w:style>
  <w:style w:type="character" w:customStyle="1" w:styleId="32">
    <w:name w:val="titletext"/>
    <w:basedOn w:val="7"/>
    <w:qFormat/>
    <w:uiPriority w:val="0"/>
    <w:rPr>
      <w:color w:val="000000"/>
    </w:rPr>
  </w:style>
  <w:style w:type="character" w:customStyle="1" w:styleId="33">
    <w:name w:val="m01"/>
    <w:basedOn w:val="7"/>
    <w:qFormat/>
    <w:uiPriority w:val="0"/>
  </w:style>
  <w:style w:type="character" w:customStyle="1" w:styleId="34">
    <w:name w:val="m07"/>
    <w:basedOn w:val="7"/>
    <w:qFormat/>
    <w:uiPriority w:val="0"/>
  </w:style>
  <w:style w:type="character" w:customStyle="1" w:styleId="35">
    <w:name w:val="m06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2018-12-05T05:20:00Z</dcterms:created>
  <dc:creator>An Yan</dc:creator>
  <cp:lastModifiedBy>Administrator</cp:lastModifiedBy>
  <cp:lastPrinted>2018-12-05T11:19:00Z</cp:lastPrinted>
  <dcterms:modified xsi:type="dcterms:W3CDTF">2018-12-10T06:03:37Z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